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093376" w:rsidRPr="00093376" w:rsidTr="00093376">
        <w:tc>
          <w:tcPr>
            <w:tcW w:w="9396" w:type="dxa"/>
            <w:shd w:val="clear" w:color="auto" w:fill="FFC000"/>
          </w:tcPr>
          <w:p w:rsidR="00093376" w:rsidRPr="00093376" w:rsidRDefault="00093376" w:rsidP="00093376">
            <w:pPr>
              <w:pStyle w:val="NoSpacing"/>
              <w:jc w:val="center"/>
              <w:rPr>
                <w:rFonts w:ascii="Times New Roman" w:hAnsi="Times New Roman" w:cs="Times New Roman"/>
                <w:b/>
                <w:sz w:val="24"/>
                <w:szCs w:val="24"/>
              </w:rPr>
            </w:pPr>
            <w:r w:rsidRPr="00093376">
              <w:rPr>
                <w:rFonts w:ascii="Times New Roman" w:hAnsi="Times New Roman" w:cs="Times New Roman"/>
                <w:b/>
                <w:sz w:val="24"/>
                <w:szCs w:val="24"/>
              </w:rPr>
              <w:t>Duchy of Athens</w:t>
            </w:r>
          </w:p>
        </w:tc>
      </w:tr>
      <w:tr w:rsidR="00093376" w:rsidRPr="00093376" w:rsidTr="00093376">
        <w:tc>
          <w:tcPr>
            <w:tcW w:w="9396" w:type="dxa"/>
            <w:shd w:val="clear" w:color="auto" w:fill="FFFF00"/>
          </w:tcPr>
          <w:tbl>
            <w:tblPr>
              <w:tblW w:w="5280" w:type="dxa"/>
              <w:tblInd w:w="2008"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354"/>
              <w:gridCol w:w="2926"/>
            </w:tblGrid>
            <w:tr w:rsidR="00093376" w:rsidRPr="00093376" w:rsidTr="00093376">
              <w:tc>
                <w:tcPr>
                  <w:tcW w:w="0" w:type="auto"/>
                  <w:gridSpan w:val="2"/>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jc w:val="center"/>
                    <w:rPr>
                      <w:rFonts w:ascii="Times New Roman" w:hAnsi="Times New Roman" w:cs="Times New Roman"/>
                      <w:b/>
                      <w:bCs/>
                      <w:sz w:val="24"/>
                      <w:szCs w:val="24"/>
                    </w:rPr>
                  </w:pPr>
                  <w:r w:rsidRPr="00093376">
                    <w:rPr>
                      <w:rFonts w:ascii="Times New Roman" w:hAnsi="Times New Roman" w:cs="Times New Roman"/>
                      <w:b/>
                      <w:bCs/>
                      <w:sz w:val="24"/>
                      <w:szCs w:val="24"/>
                    </w:rPr>
                    <w:t>Duchy of Athens</w:t>
                  </w:r>
                </w:p>
                <w:p w:rsidR="00093376" w:rsidRPr="00093376" w:rsidRDefault="00093376" w:rsidP="00093376">
                  <w:pPr>
                    <w:pStyle w:val="NoSpacing"/>
                    <w:jc w:val="center"/>
                    <w:rPr>
                      <w:rFonts w:ascii="Times New Roman" w:hAnsi="Times New Roman" w:cs="Times New Roman"/>
                      <w:sz w:val="24"/>
                      <w:szCs w:val="24"/>
                    </w:rPr>
                  </w:pPr>
                  <w:r w:rsidRPr="00093376">
                    <w:rPr>
                      <w:rFonts w:ascii="Times New Roman" w:hAnsi="Times New Roman" w:cs="Times New Roman"/>
                      <w:sz w:val="24"/>
                      <w:szCs w:val="24"/>
                      <w:lang w:val="el-GR"/>
                    </w:rPr>
                    <w:t>Δουκᾶτον Ἀθηνῶν</w:t>
                  </w:r>
                  <w:r w:rsidRPr="00093376">
                    <w:rPr>
                      <w:rFonts w:ascii="Times New Roman" w:hAnsi="Times New Roman" w:cs="Times New Roman"/>
                      <w:sz w:val="24"/>
                      <w:szCs w:val="24"/>
                    </w:rPr>
                    <w:t> (Greek)</w:t>
                  </w:r>
                  <w:r w:rsidRPr="00093376">
                    <w:rPr>
                      <w:rFonts w:ascii="Times New Roman" w:hAnsi="Times New Roman" w:cs="Times New Roman"/>
                      <w:sz w:val="24"/>
                      <w:szCs w:val="24"/>
                    </w:rPr>
                    <w:br/>
                  </w:r>
                  <w:r w:rsidRPr="00093376">
                    <w:rPr>
                      <w:rFonts w:ascii="Times New Roman" w:hAnsi="Times New Roman" w:cs="Times New Roman"/>
                      <w:i/>
                      <w:iCs/>
                      <w:sz w:val="24"/>
                      <w:szCs w:val="24"/>
                      <w:lang w:val="ca-ES"/>
                    </w:rPr>
                    <w:t>Ducat d'Atenes</w:t>
                  </w:r>
                  <w:r w:rsidRPr="00093376">
                    <w:rPr>
                      <w:rFonts w:ascii="Times New Roman" w:hAnsi="Times New Roman" w:cs="Times New Roman"/>
                      <w:sz w:val="24"/>
                      <w:szCs w:val="24"/>
                    </w:rPr>
                    <w:t> (Catalan)</w:t>
                  </w:r>
                </w:p>
              </w:tc>
            </w:tr>
            <w:tr w:rsidR="00093376" w:rsidRPr="00093376" w:rsidTr="00093376">
              <w:tc>
                <w:tcPr>
                  <w:tcW w:w="0" w:type="auto"/>
                  <w:gridSpan w:val="2"/>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jc w:val="center"/>
                    <w:rPr>
                      <w:rFonts w:ascii="Times New Roman" w:hAnsi="Times New Roman" w:cs="Times New Roman"/>
                      <w:sz w:val="24"/>
                      <w:szCs w:val="24"/>
                    </w:rPr>
                  </w:pPr>
                  <w:r w:rsidRPr="00093376">
                    <w:rPr>
                      <w:rFonts w:ascii="Times New Roman" w:hAnsi="Times New Roman" w:cs="Times New Roman"/>
                      <w:sz w:val="24"/>
                      <w:szCs w:val="24"/>
                    </w:rPr>
                    <w:t>1205–1458</w:t>
                  </w:r>
                </w:p>
              </w:tc>
            </w:tr>
            <w:tr w:rsidR="00093376" w:rsidRPr="00093376" w:rsidTr="00093376">
              <w:tc>
                <w:tcPr>
                  <w:tcW w:w="0" w:type="auto"/>
                  <w:gridSpan w:val="2"/>
                  <w:tcBorders>
                    <w:top w:val="single" w:sz="6" w:space="0" w:color="A2A9B1"/>
                  </w:tcBorders>
                  <w:shd w:val="clear" w:color="auto" w:fill="92D050"/>
                  <w:tcMar>
                    <w:top w:w="120" w:type="dxa"/>
                    <w:left w:w="0" w:type="dxa"/>
                    <w:bottom w:w="120" w:type="dxa"/>
                    <w:right w:w="0" w:type="dxa"/>
                  </w:tcMar>
                  <w:hideMark/>
                </w:tcPr>
                <w:p w:rsidR="00093376" w:rsidRPr="00093376" w:rsidRDefault="00093376" w:rsidP="00093376">
                  <w:pPr>
                    <w:pStyle w:val="NoSpacing"/>
                    <w:jc w:val="center"/>
                    <w:rPr>
                      <w:rFonts w:ascii="Times New Roman" w:hAnsi="Times New Roman" w:cs="Times New Roman"/>
                      <w:sz w:val="24"/>
                      <w:szCs w:val="24"/>
                    </w:rPr>
                  </w:pPr>
                  <w:r w:rsidRPr="00093376">
                    <w:rPr>
                      <w:rFonts w:ascii="Times New Roman" w:hAnsi="Times New Roman" w:cs="Times New Roman"/>
                      <w:noProof/>
                      <w:sz w:val="24"/>
                      <w:szCs w:val="24"/>
                    </w:rPr>
                    <w:drawing>
                      <wp:inline distT="0" distB="0" distL="0" distR="0" wp14:anchorId="3B566C6F" wp14:editId="7D8AA1AE">
                        <wp:extent cx="809625" cy="942975"/>
                        <wp:effectExtent l="0" t="0" r="9525" b="9525"/>
                        <wp:docPr id="5" name="Picture 5" descr="Arms of the Duchy under the de la Roche family of Ath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ms of the Duchy under the de la Roche family of Athens">
                                  <a:hlinkClick r:id="rId7" tooltip="&quot;Arms of the Duchy under the de la Roche family of Athen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a:noFill/>
                                </a:ln>
                              </pic:spPr>
                            </pic:pic>
                          </a:graphicData>
                        </a:graphic>
                      </wp:inline>
                    </w:drawing>
                  </w:r>
                </w:p>
                <w:p w:rsidR="00093376" w:rsidRPr="00093376" w:rsidRDefault="00093376" w:rsidP="00093376">
                  <w:pPr>
                    <w:pStyle w:val="NoSpacing"/>
                    <w:jc w:val="center"/>
                    <w:rPr>
                      <w:rFonts w:ascii="Times New Roman" w:hAnsi="Times New Roman" w:cs="Times New Roman"/>
                      <w:sz w:val="24"/>
                      <w:szCs w:val="24"/>
                    </w:rPr>
                  </w:pPr>
                  <w:r w:rsidRPr="00093376">
                    <w:rPr>
                      <w:rFonts w:ascii="Times New Roman" w:hAnsi="Times New Roman" w:cs="Times New Roman"/>
                      <w:sz w:val="24"/>
                      <w:szCs w:val="24"/>
                    </w:rPr>
                    <w:t>Arms of the Duchy under the de la Roche family</w:t>
                  </w:r>
                </w:p>
              </w:tc>
            </w:tr>
            <w:tr w:rsidR="00093376" w:rsidRPr="00093376" w:rsidTr="00093376">
              <w:tc>
                <w:tcPr>
                  <w:tcW w:w="0" w:type="auto"/>
                  <w:gridSpan w:val="2"/>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jc w:val="center"/>
                    <w:rPr>
                      <w:rFonts w:ascii="Times New Roman" w:hAnsi="Times New Roman" w:cs="Times New Roman"/>
                      <w:sz w:val="24"/>
                      <w:szCs w:val="24"/>
                    </w:rPr>
                  </w:pPr>
                  <w:r w:rsidRPr="00093376">
                    <w:rPr>
                      <w:rFonts w:ascii="Times New Roman" w:hAnsi="Times New Roman" w:cs="Times New Roman"/>
                      <w:noProof/>
                      <w:sz w:val="24"/>
                      <w:szCs w:val="24"/>
                    </w:rPr>
                    <w:drawing>
                      <wp:inline distT="0" distB="0" distL="0" distR="0" wp14:anchorId="7B55845C" wp14:editId="1AC3A4C0">
                        <wp:extent cx="2381250" cy="1362075"/>
                        <wp:effectExtent l="0" t="0" r="0" b="9525"/>
                        <wp:docPr id="6" name="Picture 6" descr="The Lordship of Athens and the other Greek and Latin states of southern Greece, c.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Lordship of Athens and the other Greek and Latin states of southern Greece, c. 1210">
                                  <a:hlinkClick r:id="rId9" tooltip="&quot;The Lordship of Athens and the other Greek and Latin states of southern Greece, c. 1210&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362075"/>
                                </a:xfrm>
                                <a:prstGeom prst="rect">
                                  <a:avLst/>
                                </a:prstGeom>
                                <a:noFill/>
                                <a:ln>
                                  <a:noFill/>
                                </a:ln>
                              </pic:spPr>
                            </pic:pic>
                          </a:graphicData>
                        </a:graphic>
                      </wp:inline>
                    </w:drawing>
                  </w:r>
                </w:p>
                <w:p w:rsidR="00093376" w:rsidRPr="00093376" w:rsidRDefault="00093376" w:rsidP="00093376">
                  <w:pPr>
                    <w:pStyle w:val="NoSpacing"/>
                    <w:jc w:val="center"/>
                    <w:rPr>
                      <w:rFonts w:ascii="Times New Roman" w:hAnsi="Times New Roman" w:cs="Times New Roman"/>
                      <w:sz w:val="24"/>
                      <w:szCs w:val="24"/>
                    </w:rPr>
                  </w:pPr>
                  <w:r w:rsidRPr="00093376">
                    <w:rPr>
                      <w:rFonts w:ascii="Times New Roman" w:hAnsi="Times New Roman" w:cs="Times New Roman"/>
                      <w:sz w:val="24"/>
                      <w:szCs w:val="24"/>
                    </w:rPr>
                    <w:t>The Lordship of Athens and the other Greek and Latin states of southern Greece, c. 1210</w:t>
                  </w:r>
                </w:p>
              </w:tc>
            </w:tr>
            <w:tr w:rsidR="00093376" w:rsidRPr="00093376" w:rsidTr="00093376">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b/>
                      <w:bCs/>
                      <w:sz w:val="24"/>
                      <w:szCs w:val="24"/>
                    </w:rPr>
                  </w:pPr>
                  <w:r w:rsidRPr="00093376">
                    <w:rPr>
                      <w:rFonts w:ascii="Times New Roman" w:hAnsi="Times New Roman" w:cs="Times New Roman"/>
                      <w:b/>
                      <w:bCs/>
                      <w:sz w:val="24"/>
                      <w:szCs w:val="24"/>
                    </w:rPr>
                    <w:t>Status</w:t>
                  </w:r>
                </w:p>
              </w:tc>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Vassal stateof various countries, de facto autonomous</w:t>
                  </w:r>
                </w:p>
              </w:tc>
            </w:tr>
            <w:tr w:rsidR="00093376" w:rsidRPr="00093376" w:rsidTr="00093376">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b/>
                      <w:bCs/>
                      <w:sz w:val="24"/>
                      <w:szCs w:val="24"/>
                    </w:rPr>
                  </w:pPr>
                  <w:r w:rsidRPr="00093376">
                    <w:rPr>
                      <w:rFonts w:ascii="Times New Roman" w:hAnsi="Times New Roman" w:cs="Times New Roman"/>
                      <w:b/>
                      <w:bCs/>
                      <w:sz w:val="24"/>
                      <w:szCs w:val="24"/>
                    </w:rPr>
                    <w:t>Capital</w:t>
                  </w:r>
                </w:p>
              </w:tc>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Athens, Thebes</w:t>
                  </w:r>
                </w:p>
              </w:tc>
            </w:tr>
            <w:tr w:rsidR="00093376" w:rsidRPr="00093376" w:rsidTr="00093376">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b/>
                      <w:bCs/>
                      <w:sz w:val="24"/>
                      <w:szCs w:val="24"/>
                    </w:rPr>
                  </w:pPr>
                  <w:r w:rsidRPr="00093376">
                    <w:rPr>
                      <w:rFonts w:ascii="Times New Roman" w:hAnsi="Times New Roman" w:cs="Times New Roman"/>
                      <w:b/>
                      <w:bCs/>
                      <w:sz w:val="24"/>
                      <w:szCs w:val="24"/>
                    </w:rPr>
                    <w:t>Common languages</w:t>
                  </w:r>
                </w:p>
              </w:tc>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French (until 1311)</w:t>
                  </w:r>
                  <w:r w:rsidRPr="00093376">
                    <w:rPr>
                      <w:rFonts w:ascii="Times New Roman" w:hAnsi="Times New Roman" w:cs="Times New Roman"/>
                      <w:sz w:val="24"/>
                      <w:szCs w:val="24"/>
                    </w:rPr>
                    <w:br/>
                    <w:t>Catalan (1311–88)</w:t>
                  </w:r>
                  <w:r w:rsidRPr="00093376">
                    <w:rPr>
                      <w:rFonts w:ascii="Times New Roman" w:hAnsi="Times New Roman" w:cs="Times New Roman"/>
                      <w:sz w:val="24"/>
                      <w:szCs w:val="24"/>
                    </w:rPr>
                    <w:br/>
                    <w:t>Greek (popularly and officially after 1388)</w:t>
                  </w:r>
                </w:p>
              </w:tc>
            </w:tr>
            <w:tr w:rsidR="00093376" w:rsidRPr="00093376" w:rsidTr="00093376">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b/>
                      <w:bCs/>
                      <w:sz w:val="24"/>
                      <w:szCs w:val="24"/>
                    </w:rPr>
                  </w:pPr>
                  <w:r w:rsidRPr="00093376">
                    <w:rPr>
                      <w:rFonts w:ascii="Times New Roman" w:hAnsi="Times New Roman" w:cs="Times New Roman"/>
                      <w:b/>
                      <w:bCs/>
                      <w:sz w:val="24"/>
                      <w:szCs w:val="24"/>
                    </w:rPr>
                    <w:t>Religion</w:t>
                  </w:r>
                </w:p>
              </w:tc>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Catholic Church (state religion)</w:t>
                  </w:r>
                  <w:r w:rsidRPr="00093376">
                    <w:rPr>
                      <w:rFonts w:ascii="Times New Roman" w:hAnsi="Times New Roman" w:cs="Times New Roman"/>
                      <w:sz w:val="24"/>
                      <w:szCs w:val="24"/>
                    </w:rPr>
                    <w:br/>
                    <w:t>Greek Orthodoxy (popularly)</w:t>
                  </w:r>
                </w:p>
              </w:tc>
            </w:tr>
            <w:tr w:rsidR="00093376" w:rsidRPr="00093376" w:rsidTr="00093376">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b/>
                      <w:bCs/>
                      <w:sz w:val="24"/>
                      <w:szCs w:val="24"/>
                    </w:rPr>
                  </w:pPr>
                  <w:r w:rsidRPr="00093376">
                    <w:rPr>
                      <w:rFonts w:ascii="Times New Roman" w:hAnsi="Times New Roman" w:cs="Times New Roman"/>
                      <w:b/>
                      <w:bCs/>
                      <w:sz w:val="24"/>
                      <w:szCs w:val="24"/>
                    </w:rPr>
                    <w:t>Government</w:t>
                  </w:r>
                </w:p>
              </w:tc>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Feudal monarchy</w:t>
                  </w:r>
                </w:p>
              </w:tc>
            </w:tr>
            <w:tr w:rsidR="00093376" w:rsidRPr="00093376" w:rsidTr="00093376">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b/>
                      <w:bCs/>
                      <w:sz w:val="24"/>
                      <w:szCs w:val="24"/>
                    </w:rPr>
                  </w:pPr>
                  <w:r w:rsidRPr="00093376">
                    <w:rPr>
                      <w:rFonts w:ascii="Times New Roman" w:hAnsi="Times New Roman" w:cs="Times New Roman"/>
                      <w:b/>
                      <w:bCs/>
                      <w:sz w:val="24"/>
                      <w:szCs w:val="24"/>
                    </w:rPr>
                    <w:t>Duke of Athens</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w:t>
                  </w:r>
                </w:p>
              </w:tc>
            </w:tr>
            <w:tr w:rsidR="00093376" w:rsidRPr="00093376" w:rsidTr="00093376">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b/>
                      <w:bCs/>
                      <w:sz w:val="24"/>
                      <w:szCs w:val="24"/>
                    </w:rPr>
                  </w:pPr>
                  <w:r w:rsidRPr="00093376">
                    <w:rPr>
                      <w:rFonts w:ascii="Times New Roman" w:hAnsi="Times New Roman" w:cs="Times New Roman"/>
                      <w:b/>
                      <w:bCs/>
                      <w:sz w:val="24"/>
                      <w:szCs w:val="24"/>
                    </w:rPr>
                    <w:t>Historical era</w:t>
                  </w:r>
                </w:p>
              </w:tc>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Middle Ages</w:t>
                  </w:r>
                </w:p>
              </w:tc>
            </w:tr>
            <w:tr w:rsidR="00093376" w:rsidRPr="00093376" w:rsidTr="00093376">
              <w:tc>
                <w:tcPr>
                  <w:tcW w:w="0" w:type="auto"/>
                  <w:gridSpan w:val="2"/>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p>
              </w:tc>
            </w:tr>
            <w:tr w:rsidR="00093376" w:rsidRPr="00093376" w:rsidTr="00093376">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Fourth Crusade</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1204</w:t>
                  </w:r>
                </w:p>
              </w:tc>
            </w:tr>
            <w:tr w:rsidR="00093376" w:rsidRPr="00093376" w:rsidTr="00093376">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Duchy established</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1205</w:t>
                  </w:r>
                </w:p>
              </w:tc>
            </w:tr>
            <w:tr w:rsidR="00093376" w:rsidRPr="00093376" w:rsidTr="00093376">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lastRenderedPageBreak/>
                    <w:t>• Aragonese conquest</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1311</w:t>
                  </w:r>
                </w:p>
              </w:tc>
            </w:tr>
            <w:tr w:rsidR="00093376" w:rsidRPr="00093376" w:rsidTr="00093376">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Acciaioli rule</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1388</w:t>
                  </w:r>
                </w:p>
              </w:tc>
            </w:tr>
            <w:tr w:rsidR="00093376" w:rsidRPr="00093376" w:rsidTr="00093376">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Tributary to Morea</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1444</w:t>
                  </w:r>
                </w:p>
              </w:tc>
            </w:tr>
            <w:tr w:rsidR="00093376" w:rsidRPr="00093376" w:rsidTr="00093376">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Ottoman conquest</w:t>
                  </w:r>
                </w:p>
              </w:tc>
              <w:tc>
                <w:tcPr>
                  <w:tcW w:w="0" w:type="auto"/>
                  <w:tcBorders>
                    <w:top w:val="nil"/>
                    <w:left w:val="nil"/>
                    <w:bottom w:val="nil"/>
                    <w:right w:val="nil"/>
                  </w:tcBorders>
                  <w:shd w:val="clear" w:color="auto" w:fill="92D050"/>
                  <w:tcMar>
                    <w:top w:w="0" w:type="dxa"/>
                    <w:left w:w="144" w:type="dxa"/>
                    <w:bottom w:w="48"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1458</w:t>
                  </w:r>
                </w:p>
              </w:tc>
            </w:tr>
            <w:tr w:rsidR="00093376" w:rsidRPr="00093376" w:rsidTr="00093376">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b/>
                      <w:bCs/>
                      <w:sz w:val="24"/>
                      <w:szCs w:val="24"/>
                    </w:rPr>
                  </w:pPr>
                  <w:r w:rsidRPr="00093376">
                    <w:rPr>
                      <w:rFonts w:ascii="Times New Roman" w:hAnsi="Times New Roman" w:cs="Times New Roman"/>
                      <w:b/>
                      <w:bCs/>
                      <w:sz w:val="24"/>
                      <w:szCs w:val="24"/>
                    </w:rPr>
                    <w:t>Currency</w:t>
                  </w:r>
                </w:p>
              </w:tc>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Denier tournois</w:t>
                  </w:r>
                </w:p>
              </w:tc>
            </w:tr>
            <w:tr w:rsidR="00093376" w:rsidRPr="00093376" w:rsidTr="00093376">
              <w:tc>
                <w:tcPr>
                  <w:tcW w:w="0" w:type="auto"/>
                  <w:gridSpan w:val="2"/>
                  <w:tcBorders>
                    <w:top w:val="single" w:sz="6" w:space="0" w:color="A2A9B1"/>
                  </w:tcBorders>
                  <w:shd w:val="clear" w:color="auto" w:fill="92D050"/>
                  <w:tcMar>
                    <w:top w:w="96" w:type="dxa"/>
                    <w:left w:w="144" w:type="dxa"/>
                    <w:bottom w:w="96" w:type="dxa"/>
                    <w:right w:w="144" w:type="dxa"/>
                  </w:tcMar>
                  <w:hideMark/>
                </w:tcPr>
                <w:tbl>
                  <w:tblPr>
                    <w:tblW w:w="3623" w:type="dxa"/>
                    <w:jc w:val="center"/>
                    <w:tblCellSpacing w:w="15" w:type="dxa"/>
                    <w:tblCellMar>
                      <w:top w:w="15" w:type="dxa"/>
                      <w:left w:w="15" w:type="dxa"/>
                      <w:bottom w:w="15" w:type="dxa"/>
                      <w:right w:w="15" w:type="dxa"/>
                    </w:tblCellMar>
                    <w:tblLook w:val="04A0" w:firstRow="1" w:lastRow="0" w:firstColumn="1" w:lastColumn="0" w:noHBand="0" w:noVBand="1"/>
                  </w:tblPr>
                  <w:tblGrid>
                    <w:gridCol w:w="1929"/>
                    <w:gridCol w:w="1707"/>
                  </w:tblGrid>
                  <w:tr w:rsidR="00093376" w:rsidRPr="00093376" w:rsidTr="00B74C7C">
                    <w:trPr>
                      <w:tblCellSpacing w:w="15" w:type="dxa"/>
                      <w:jc w:val="center"/>
                    </w:trPr>
                    <w:tc>
                      <w:tcPr>
                        <w:tcW w:w="0" w:type="auto"/>
                        <w:tcBorders>
                          <w:top w:val="nil"/>
                          <w:left w:val="nil"/>
                          <w:bottom w:val="nil"/>
                          <w:right w:val="nil"/>
                        </w:tcBorders>
                        <w:shd w:val="clear" w:color="auto" w:fill="auto"/>
                        <w:tcMar>
                          <w:top w:w="96" w:type="dxa"/>
                          <w:left w:w="144" w:type="dxa"/>
                          <w:bottom w:w="0"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b/>
                            <w:bCs/>
                            <w:sz w:val="24"/>
                            <w:szCs w:val="24"/>
                          </w:rPr>
                          <w:t>Preceded by</w:t>
                        </w:r>
                      </w:p>
                    </w:tc>
                    <w:tc>
                      <w:tcPr>
                        <w:tcW w:w="0" w:type="auto"/>
                        <w:tcBorders>
                          <w:top w:val="nil"/>
                          <w:left w:val="nil"/>
                          <w:bottom w:val="nil"/>
                          <w:right w:val="nil"/>
                        </w:tcBorders>
                        <w:shd w:val="clear" w:color="auto" w:fill="auto"/>
                        <w:tcMar>
                          <w:top w:w="96" w:type="dxa"/>
                          <w:left w:w="144" w:type="dxa"/>
                          <w:bottom w:w="0"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b/>
                            <w:bCs/>
                            <w:sz w:val="24"/>
                            <w:szCs w:val="24"/>
                          </w:rPr>
                          <w:t>Succeeded by</w:t>
                        </w:r>
                      </w:p>
                    </w:tc>
                  </w:tr>
                  <w:tr w:rsidR="00093376" w:rsidRPr="00093376" w:rsidTr="00B74C7C">
                    <w:trPr>
                      <w:tblCellSpacing w:w="15" w:type="dxa"/>
                      <w:jc w:val="center"/>
                    </w:trPr>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596" w:type="dxa"/>
                          <w:jc w:val="center"/>
                          <w:tblCellSpacing w:w="15" w:type="dxa"/>
                          <w:tblCellMar>
                            <w:top w:w="15" w:type="dxa"/>
                            <w:left w:w="15" w:type="dxa"/>
                            <w:bottom w:w="15" w:type="dxa"/>
                            <w:right w:w="15" w:type="dxa"/>
                          </w:tblCellMar>
                          <w:tblLook w:val="04A0" w:firstRow="1" w:lastRow="0" w:firstColumn="1" w:lastColumn="0" w:noHBand="0" w:noVBand="1"/>
                        </w:tblPr>
                        <w:tblGrid>
                          <w:gridCol w:w="375"/>
                          <w:gridCol w:w="1221"/>
                        </w:tblGrid>
                        <w:tr w:rsidR="00093376" w:rsidRPr="00093376" w:rsidTr="00B74C7C">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noProof/>
                                  <w:sz w:val="24"/>
                                  <w:szCs w:val="24"/>
                                </w:rPr>
                                <w:drawing>
                                  <wp:inline distT="0" distB="0" distL="0" distR="0" wp14:anchorId="0A15E024" wp14:editId="04447AF5">
                                    <wp:extent cx="209550" cy="142875"/>
                                    <wp:effectExtent l="0" t="0" r="0" b="0"/>
                                    <wp:docPr id="7" name="Picture 7"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en/d/d2/Blan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Byzantine Empire</w:t>
                              </w:r>
                            </w:p>
                          </w:tc>
                        </w:tr>
                      </w:tbl>
                      <w:p w:rsidR="00093376" w:rsidRPr="00093376" w:rsidRDefault="00093376" w:rsidP="00093376">
                        <w:pPr>
                          <w:pStyle w:val="NoSpacing"/>
                          <w:rPr>
                            <w:rFonts w:ascii="Times New Roman" w:hAnsi="Times New Roman" w:cs="Times New Roman"/>
                            <w:sz w:val="24"/>
                            <w:szCs w:val="24"/>
                          </w:rPr>
                        </w:pPr>
                      </w:p>
                    </w:tc>
                    <w:tc>
                      <w:tcPr>
                        <w:tcW w:w="0" w:type="auto"/>
                        <w:tcBorders>
                          <w:top w:val="nil"/>
                          <w:left w:val="nil"/>
                          <w:bottom w:val="nil"/>
                          <w:right w:val="nil"/>
                        </w:tcBorders>
                        <w:shd w:val="clear" w:color="auto" w:fill="auto"/>
                        <w:tcMar>
                          <w:top w:w="96" w:type="dxa"/>
                          <w:left w:w="144" w:type="dxa"/>
                          <w:bottom w:w="96" w:type="dxa"/>
                          <w:right w:w="144" w:type="dxa"/>
                        </w:tcMar>
                        <w:hideMark/>
                      </w:tcPr>
                      <w:tbl>
                        <w:tblPr>
                          <w:tblW w:w="1374" w:type="dxa"/>
                          <w:jc w:val="center"/>
                          <w:tblCellSpacing w:w="15" w:type="dxa"/>
                          <w:tblCellMar>
                            <w:top w:w="15" w:type="dxa"/>
                            <w:left w:w="15" w:type="dxa"/>
                            <w:bottom w:w="15" w:type="dxa"/>
                            <w:right w:w="15" w:type="dxa"/>
                          </w:tblCellMar>
                          <w:tblLook w:val="04A0" w:firstRow="1" w:lastRow="0" w:firstColumn="1" w:lastColumn="0" w:noHBand="0" w:noVBand="1"/>
                        </w:tblPr>
                        <w:tblGrid>
                          <w:gridCol w:w="999"/>
                          <w:gridCol w:w="375"/>
                        </w:tblGrid>
                        <w:tr w:rsidR="00093376" w:rsidRPr="00093376" w:rsidTr="00B74C7C">
                          <w:trPr>
                            <w:tblCellSpacing w:w="15" w:type="dxa"/>
                            <w:jc w:val="cent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Ottoman Empire</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noProof/>
                                  <w:sz w:val="24"/>
                                  <w:szCs w:val="24"/>
                                </w:rPr>
                                <w:drawing>
                                  <wp:inline distT="0" distB="0" distL="0" distR="0" wp14:anchorId="522DAD1E" wp14:editId="3D5746DE">
                                    <wp:extent cx="209550" cy="142875"/>
                                    <wp:effectExtent l="0" t="0" r="0" b="0"/>
                                    <wp:docPr id="8" name="Picture 8" descr="https://upload.wikimedia.org/wikipedia/en/d/d2/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en/d/d2/Blan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rsidR="00093376" w:rsidRPr="00093376" w:rsidRDefault="00093376" w:rsidP="00093376">
                        <w:pPr>
                          <w:pStyle w:val="NoSpacing"/>
                          <w:rPr>
                            <w:rFonts w:ascii="Times New Roman" w:hAnsi="Times New Roman" w:cs="Times New Roman"/>
                            <w:sz w:val="24"/>
                            <w:szCs w:val="24"/>
                          </w:rPr>
                        </w:pPr>
                      </w:p>
                    </w:tc>
                  </w:tr>
                </w:tbl>
                <w:p w:rsidR="00093376" w:rsidRPr="00093376" w:rsidRDefault="00093376" w:rsidP="00093376">
                  <w:pPr>
                    <w:pStyle w:val="NoSpacing"/>
                    <w:rPr>
                      <w:rFonts w:ascii="Times New Roman" w:hAnsi="Times New Roman" w:cs="Times New Roman"/>
                      <w:sz w:val="24"/>
                      <w:szCs w:val="24"/>
                    </w:rPr>
                  </w:pPr>
                </w:p>
              </w:tc>
            </w:tr>
            <w:tr w:rsidR="00093376" w:rsidRPr="00093376" w:rsidTr="00093376">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b/>
                      <w:bCs/>
                      <w:sz w:val="24"/>
                      <w:szCs w:val="24"/>
                    </w:rPr>
                  </w:pPr>
                  <w:r w:rsidRPr="00093376">
                    <w:rPr>
                      <w:rFonts w:ascii="Times New Roman" w:hAnsi="Times New Roman" w:cs="Times New Roman"/>
                      <w:b/>
                      <w:bCs/>
                      <w:sz w:val="24"/>
                      <w:szCs w:val="24"/>
                    </w:rPr>
                    <w:t>Today part of</w:t>
                  </w:r>
                </w:p>
              </w:tc>
              <w:tc>
                <w:tcPr>
                  <w:tcW w:w="0" w:type="auto"/>
                  <w:tcBorders>
                    <w:top w:val="single" w:sz="6" w:space="0" w:color="A2A9B1"/>
                  </w:tcBorders>
                  <w:shd w:val="clear" w:color="auto" w:fill="92D050"/>
                  <w:tcMar>
                    <w:top w:w="96" w:type="dxa"/>
                    <w:left w:w="144" w:type="dxa"/>
                    <w:bottom w:w="96" w:type="dxa"/>
                    <w:right w:w="144" w:type="dxa"/>
                  </w:tcMar>
                  <w:hideMark/>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Greece</w:t>
                  </w:r>
                </w:p>
              </w:tc>
            </w:tr>
          </w:tbl>
          <w:p w:rsidR="00093376" w:rsidRPr="00093376" w:rsidRDefault="00093376" w:rsidP="00093376">
            <w:pPr>
              <w:pStyle w:val="NoSpacing"/>
              <w:rPr>
                <w:rFonts w:ascii="Times New Roman" w:hAnsi="Times New Roman" w:cs="Times New Roman"/>
                <w:sz w:val="24"/>
                <w:szCs w:val="24"/>
              </w:rPr>
            </w:pPr>
          </w:p>
        </w:tc>
      </w:tr>
      <w:tr w:rsidR="00093376" w:rsidRPr="00093376" w:rsidTr="00093376">
        <w:tc>
          <w:tcPr>
            <w:tcW w:w="9396" w:type="dxa"/>
            <w:shd w:val="clear" w:color="auto" w:fill="FFFF00"/>
          </w:tcPr>
          <w:p w:rsidR="00093376" w:rsidRPr="00093376" w:rsidRDefault="00093376" w:rsidP="00093376">
            <w:pPr>
              <w:pStyle w:val="NoSpacing"/>
              <w:jc w:val="center"/>
              <w:rPr>
                <w:rFonts w:ascii="Times New Roman" w:hAnsi="Times New Roman" w:cs="Times New Roman"/>
                <w:b/>
                <w:sz w:val="24"/>
                <w:szCs w:val="24"/>
              </w:rPr>
            </w:pPr>
            <w:r w:rsidRPr="00093376">
              <w:rPr>
                <w:rFonts w:ascii="Times New Roman" w:hAnsi="Times New Roman" w:cs="Times New Roman"/>
                <w:b/>
                <w:sz w:val="24"/>
                <w:szCs w:val="24"/>
              </w:rPr>
              <w:lastRenderedPageBreak/>
              <w:t>Dukes of Athens</w:t>
            </w:r>
          </w:p>
        </w:tc>
      </w:tr>
      <w:tr w:rsidR="00093376" w:rsidRPr="00093376" w:rsidTr="00093376">
        <w:tc>
          <w:tcPr>
            <w:tcW w:w="9396" w:type="dxa"/>
            <w:shd w:val="clear" w:color="auto" w:fill="FFFF00"/>
          </w:tcPr>
          <w:p w:rsidR="00093376" w:rsidRPr="00093376" w:rsidRDefault="00093376" w:rsidP="00093376">
            <w:pPr>
              <w:pStyle w:val="NoSpacing"/>
              <w:jc w:val="center"/>
              <w:rPr>
                <w:rFonts w:ascii="Times New Roman" w:hAnsi="Times New Roman" w:cs="Times New Roman"/>
                <w:b/>
                <w:bCs/>
                <w:sz w:val="24"/>
                <w:szCs w:val="24"/>
              </w:rPr>
            </w:pPr>
            <w:r w:rsidRPr="00093376">
              <w:rPr>
                <w:rFonts w:ascii="Times New Roman" w:hAnsi="Times New Roman" w:cs="Times New Roman"/>
                <w:b/>
                <w:bCs/>
                <w:sz w:val="24"/>
                <w:szCs w:val="24"/>
              </w:rPr>
              <w:t>De la Roche family</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Of Burgundian origin, the dukes of the petty lordly family from La Roche renewed the ancient city of Plato and Aristotle as a courtly European capital of chivalry. The state they built around it was, throughout their tenure, the strongest and most peaceful of the Latin creations in Greece.</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Otto (1205–1225)</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Guy I (1225–1263)</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John I (1263–1280)</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William I (1280–1287)</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Guy II (1287–1308)</w:t>
            </w:r>
          </w:p>
        </w:tc>
      </w:tr>
      <w:tr w:rsidR="00093376" w:rsidRPr="00093376" w:rsidTr="00093376">
        <w:tc>
          <w:tcPr>
            <w:tcW w:w="9396" w:type="dxa"/>
            <w:shd w:val="clear" w:color="auto" w:fill="FFFF00"/>
          </w:tcPr>
          <w:p w:rsidR="00093376" w:rsidRPr="00093376" w:rsidRDefault="00093376" w:rsidP="00093376">
            <w:pPr>
              <w:pStyle w:val="NoSpacing"/>
              <w:jc w:val="center"/>
              <w:rPr>
                <w:rFonts w:ascii="Times New Roman" w:hAnsi="Times New Roman" w:cs="Times New Roman"/>
                <w:b/>
                <w:bCs/>
                <w:sz w:val="24"/>
                <w:szCs w:val="24"/>
              </w:rPr>
            </w:pPr>
            <w:r w:rsidRPr="00093376">
              <w:rPr>
                <w:rFonts w:ascii="Times New Roman" w:hAnsi="Times New Roman" w:cs="Times New Roman"/>
                <w:b/>
                <w:bCs/>
                <w:sz w:val="24"/>
                <w:szCs w:val="24"/>
              </w:rPr>
              <w:t>Briennist claimants</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The Athenian parliament elected the count of Brienne to succeed Guy, but his tenure was brief and he was killed in battle by the Catalans. His wife briefly had control of the city, too. The heirs of Brienne continued to claim the duchy, but were recognised only in Argos and Nauplia.</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Walter V of Brienne (1308–1311)</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Joanna of Châtillon (1311–1354)</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Walter VI of Brienne (1311–1356)</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Isabella of Brienne (1356–1360)</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Sohier of Enghien (1356–1367)</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Walter IV of Enghien (1367–1381)</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Louis of Enghien (1381–1394)</w:t>
            </w:r>
          </w:p>
        </w:tc>
      </w:tr>
      <w:tr w:rsidR="00093376" w:rsidRPr="00093376" w:rsidTr="00093376">
        <w:tc>
          <w:tcPr>
            <w:tcW w:w="9396" w:type="dxa"/>
            <w:shd w:val="clear" w:color="auto" w:fill="FFFF00"/>
          </w:tcPr>
          <w:p w:rsidR="00093376" w:rsidRPr="00093376" w:rsidRDefault="00093376" w:rsidP="00093376">
            <w:pPr>
              <w:pStyle w:val="NoSpacing"/>
              <w:jc w:val="center"/>
              <w:rPr>
                <w:rFonts w:ascii="Times New Roman" w:hAnsi="Times New Roman" w:cs="Times New Roman"/>
                <w:b/>
                <w:bCs/>
                <w:sz w:val="24"/>
                <w:szCs w:val="24"/>
              </w:rPr>
            </w:pPr>
            <w:r w:rsidRPr="00093376">
              <w:rPr>
                <w:rFonts w:ascii="Times New Roman" w:hAnsi="Times New Roman" w:cs="Times New Roman"/>
                <w:b/>
                <w:bCs/>
                <w:sz w:val="24"/>
                <w:szCs w:val="24"/>
              </w:rPr>
              <w:t>Aragonese domination</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The annexation of the duchy to first the Catalan Company and subsequently Aragon came after a disputed succession following the death of the last Burgundian duke. The Catalans recognised the king of Sicily as suzerain and this left the duchy often as an appanage in the hands of younger sons and under vicars general.</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Roger Deslaur (1311–1312)</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Manfred (1312–1317)</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William II (1317–1338)</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lastRenderedPageBreak/>
              <w:t>John II (1338–1348)</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Frederick I (1348–1355)</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Frederick II (1355–1377)</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Maria (1377–1379)</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Peter IV (1379–1387)</w:t>
            </w:r>
          </w:p>
        </w:tc>
      </w:tr>
      <w:tr w:rsidR="00093376" w:rsidRPr="00093376" w:rsidTr="00093376">
        <w:tc>
          <w:tcPr>
            <w:tcW w:w="9396" w:type="dxa"/>
            <w:shd w:val="clear" w:color="auto" w:fill="FFFF00"/>
          </w:tcPr>
          <w:p w:rsidR="00093376" w:rsidRPr="00093376" w:rsidRDefault="00093376" w:rsidP="00093376">
            <w:pPr>
              <w:pStyle w:val="NoSpacing"/>
              <w:jc w:val="center"/>
              <w:rPr>
                <w:rFonts w:ascii="Times New Roman" w:hAnsi="Times New Roman" w:cs="Times New Roman"/>
                <w:b/>
                <w:bCs/>
                <w:sz w:val="24"/>
                <w:szCs w:val="24"/>
              </w:rPr>
            </w:pPr>
            <w:r w:rsidRPr="00093376">
              <w:rPr>
                <w:rFonts w:ascii="Times New Roman" w:hAnsi="Times New Roman" w:cs="Times New Roman"/>
                <w:b/>
                <w:bCs/>
                <w:sz w:val="24"/>
                <w:szCs w:val="24"/>
              </w:rPr>
              <w:t>Catalan vicars-general</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These were the vicars-general of the Crown of Sicily, and after 1379 of the Crown of Aragon.</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xml:space="preserve">Berenguer Estañol (1312–1316) </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Alfonso Fadrique (1317 – ca. 1330)</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xml:space="preserve"> Odo of Novelles, possibly appointed </w:t>
            </w:r>
            <w:r w:rsidRPr="00093376">
              <w:rPr>
                <w:rFonts w:ascii="Times New Roman" w:hAnsi="Times New Roman" w:cs="Times New Roman"/>
                <w:i/>
                <w:iCs/>
                <w:sz w:val="24"/>
                <w:szCs w:val="24"/>
              </w:rPr>
              <w:t>pro tempore</w:t>
            </w:r>
            <w:r w:rsidRPr="00093376">
              <w:rPr>
                <w:rFonts w:ascii="Times New Roman" w:hAnsi="Times New Roman" w:cs="Times New Roman"/>
                <w:sz w:val="24"/>
                <w:szCs w:val="24"/>
              </w:rPr>
              <w:t> to lead the war against Walter VI of Brienne in 1331</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xml:space="preserve">Nicholas Lancia (ca. 1331–1335) </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xml:space="preserve">Raymond Bernardi (1354–1356) </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Gonsalvo Ximénez of Arenós (1359)</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xml:space="preserve"> </w:t>
            </w:r>
            <w:hyperlink r:id="rId12" w:tooltip="Matthew of Moncada" w:history="1">
              <w:r w:rsidRPr="00093376">
                <w:rPr>
                  <w:rFonts w:ascii="Times New Roman" w:hAnsi="Times New Roman" w:cs="Times New Roman"/>
                  <w:sz w:val="24"/>
                  <w:szCs w:val="24"/>
                </w:rPr>
                <w:t>Matthew of Moncada</w:t>
              </w:r>
            </w:hyperlink>
            <w:r w:rsidRPr="00093376">
              <w:rPr>
                <w:rFonts w:ascii="Times New Roman" w:hAnsi="Times New Roman" w:cs="Times New Roman"/>
                <w:sz w:val="24"/>
                <w:szCs w:val="24"/>
              </w:rPr>
              <w:t> (1359–1361)</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xml:space="preserve"> Peter de Pou (1361–1362)</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xml:space="preserve"> Roger de Llúria (1362–1369/70), </w:t>
            </w:r>
            <w:r w:rsidRPr="00093376">
              <w:rPr>
                <w:rFonts w:ascii="Times New Roman" w:hAnsi="Times New Roman" w:cs="Times New Roman"/>
                <w:i/>
                <w:iCs/>
                <w:sz w:val="24"/>
                <w:szCs w:val="24"/>
              </w:rPr>
              <w:t>de facto</w:t>
            </w:r>
            <w:r w:rsidRPr="00093376">
              <w:rPr>
                <w:rFonts w:ascii="Times New Roman" w:hAnsi="Times New Roman" w:cs="Times New Roman"/>
                <w:sz w:val="24"/>
                <w:szCs w:val="24"/>
              </w:rPr>
              <w:t> and unrecognized until 1366</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Gonsalvo Ximénez of Arenós (1362–1363), uncertain</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Matthew of Moncada (1363–1366), only </w:t>
            </w:r>
            <w:r w:rsidRPr="00093376">
              <w:rPr>
                <w:rFonts w:ascii="Times New Roman" w:hAnsi="Times New Roman" w:cs="Times New Roman"/>
                <w:i/>
                <w:iCs/>
                <w:sz w:val="24"/>
                <w:szCs w:val="24"/>
              </w:rPr>
              <w:t>de jure</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xml:space="preserve">Matthew of Peralta (1370–1374) </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xml:space="preserve">Louis Fadrique (1375–1382) </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Philip Dalmau, Viscount of Rocaberti (1379–1386, </w:t>
            </w:r>
            <w:r w:rsidRPr="00093376">
              <w:rPr>
                <w:rFonts w:ascii="Times New Roman" w:hAnsi="Times New Roman" w:cs="Times New Roman"/>
                <w:i/>
                <w:iCs/>
                <w:sz w:val="24"/>
                <w:szCs w:val="24"/>
              </w:rPr>
              <w:t>de facto</w:t>
            </w:r>
            <w:r w:rsidRPr="00093376">
              <w:rPr>
                <w:rFonts w:ascii="Times New Roman" w:hAnsi="Times New Roman" w:cs="Times New Roman"/>
                <w:sz w:val="24"/>
                <w:szCs w:val="24"/>
              </w:rPr>
              <w:t xml:space="preserve"> only during his stay in Greece 1381–1382) </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Raymond de Vilanova (1382–1386), deputy of Philip Dalmau after his departure from Greece</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Bernard of Cornellà (1386–1387), never actually went to Greece</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 xml:space="preserve">Philip Dalmau, Viscount of Rocaberti (1387–1388) </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Peter of Pau (1386–1388), deputy of Bernard of Cornellà and then of Philip Dalmau in Greece until the fall of Athens to Nerio Acciaioli</w:t>
            </w:r>
            <w:r w:rsidRPr="00093376">
              <w:rPr>
                <w:rFonts w:ascii="Times New Roman" w:hAnsi="Times New Roman" w:cs="Times New Roman"/>
                <w:sz w:val="24"/>
                <w:szCs w:val="24"/>
                <w:vertAlign w:val="superscript"/>
              </w:rPr>
              <w:t>[</w:t>
            </w:r>
          </w:p>
        </w:tc>
      </w:tr>
      <w:tr w:rsidR="00093376" w:rsidRPr="00093376" w:rsidTr="00093376">
        <w:tc>
          <w:tcPr>
            <w:tcW w:w="9396" w:type="dxa"/>
            <w:shd w:val="clear" w:color="auto" w:fill="FFFF00"/>
          </w:tcPr>
          <w:p w:rsidR="00093376" w:rsidRPr="00093376" w:rsidRDefault="00093376" w:rsidP="00093376">
            <w:pPr>
              <w:pStyle w:val="NoSpacing"/>
              <w:jc w:val="center"/>
              <w:rPr>
                <w:rFonts w:ascii="Times New Roman" w:hAnsi="Times New Roman" w:cs="Times New Roman"/>
                <w:b/>
                <w:bCs/>
                <w:sz w:val="24"/>
                <w:szCs w:val="24"/>
              </w:rPr>
            </w:pPr>
            <w:r w:rsidRPr="00093376">
              <w:rPr>
                <w:rFonts w:ascii="Times New Roman" w:hAnsi="Times New Roman" w:cs="Times New Roman"/>
                <w:b/>
                <w:bCs/>
                <w:sz w:val="24"/>
                <w:szCs w:val="24"/>
              </w:rPr>
              <w:t>Acciaioli family</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The Florentine Acciaioli (or Acciajuoli) governed the duchy from their removal of the Catalans, with the assistance of the Navarrese. While Nerio willed the city and duchy to Venice, it returned to the Florentines until the Turkish conquest.</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Nerio I (1388–1394)</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Antonio I (1394–1395)</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i/>
                <w:iCs/>
                <w:sz w:val="24"/>
                <w:szCs w:val="24"/>
              </w:rPr>
              <w:t>Venetian control</w:t>
            </w:r>
            <w:r w:rsidRPr="00093376">
              <w:rPr>
                <w:rFonts w:ascii="Times New Roman" w:hAnsi="Times New Roman" w:cs="Times New Roman"/>
                <w:sz w:val="24"/>
                <w:szCs w:val="24"/>
              </w:rPr>
              <w:t> (1395–1402), under </w:t>
            </w:r>
            <w:r w:rsidRPr="00093376">
              <w:rPr>
                <w:rFonts w:ascii="Times New Roman" w:hAnsi="Times New Roman" w:cs="Times New Roman"/>
                <w:i/>
                <w:iCs/>
                <w:sz w:val="24"/>
                <w:szCs w:val="24"/>
              </w:rPr>
              <w:t>podestàs</w:t>
            </w:r>
            <w:r w:rsidRPr="00093376">
              <w:rPr>
                <w:rFonts w:ascii="Times New Roman" w:hAnsi="Times New Roman" w:cs="Times New Roman"/>
                <w:sz w:val="24"/>
                <w:szCs w:val="24"/>
              </w:rPr>
              <w:t>:</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Albano Contarini (1395–1397)</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Lorenzo Venier (1397–1399)</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Ermoaldo Contarini (1399–1400)</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Nicolo Vitturi (1400–1402)</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Antonio I (1402–1435), restored</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Nerio II (1435–1439)</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Antonio II (1439–1441)</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Nerio II (1441–1451), restored</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Claire (1451–1454)</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with Bartolomeo Contarini (1451–1454)</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lastRenderedPageBreak/>
              <w:t>Francesco I (1451–1454)</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Francesco II (1455–1458)</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The Duchy, Dante Alighieri, and William Shakespeare</w:t>
            </w:r>
          </w:p>
        </w:tc>
      </w:tr>
      <w:tr w:rsidR="00093376" w:rsidRPr="00093376" w:rsidTr="00093376">
        <w:tc>
          <w:tcPr>
            <w:tcW w:w="9396" w:type="dxa"/>
            <w:shd w:val="clear" w:color="auto" w:fill="FFFF00"/>
          </w:tcPr>
          <w:p w:rsidR="00093376" w:rsidRPr="00093376" w:rsidRDefault="00093376" w:rsidP="00093376">
            <w:pPr>
              <w:pStyle w:val="NoSpacing"/>
              <w:rPr>
                <w:rFonts w:ascii="Times New Roman" w:hAnsi="Times New Roman" w:cs="Times New Roman"/>
                <w:sz w:val="24"/>
                <w:szCs w:val="24"/>
              </w:rPr>
            </w:pPr>
            <w:r w:rsidRPr="00093376">
              <w:rPr>
                <w:rFonts w:ascii="Times New Roman" w:hAnsi="Times New Roman" w:cs="Times New Roman"/>
                <w:sz w:val="24"/>
                <w:szCs w:val="24"/>
              </w:rPr>
              <w:t>Italian poet Dante Alighieri (c. 1265-1321), in the </w:t>
            </w:r>
            <w:r w:rsidRPr="00093376">
              <w:rPr>
                <w:rFonts w:ascii="Times New Roman" w:hAnsi="Times New Roman" w:cs="Times New Roman"/>
                <w:i/>
                <w:iCs/>
                <w:sz w:val="24"/>
                <w:szCs w:val="24"/>
              </w:rPr>
              <w:t>Inferno</w:t>
            </w:r>
            <w:r w:rsidRPr="00093376">
              <w:rPr>
                <w:rFonts w:ascii="Times New Roman" w:hAnsi="Times New Roman" w:cs="Times New Roman"/>
                <w:sz w:val="24"/>
                <w:szCs w:val="24"/>
              </w:rPr>
              <w:t> segment of his </w:t>
            </w:r>
            <w:r w:rsidRPr="00093376">
              <w:rPr>
                <w:rFonts w:ascii="Times New Roman" w:hAnsi="Times New Roman" w:cs="Times New Roman"/>
                <w:i/>
                <w:iCs/>
                <w:sz w:val="24"/>
                <w:szCs w:val="24"/>
              </w:rPr>
              <w:t>Divine Comedy</w:t>
            </w:r>
            <w:r w:rsidRPr="00093376">
              <w:rPr>
                <w:rFonts w:ascii="Times New Roman" w:hAnsi="Times New Roman" w:cs="Times New Roman"/>
                <w:sz w:val="24"/>
                <w:szCs w:val="24"/>
              </w:rPr>
              <w:t>, meets, along with the Roman poet Virgil, the mythological Minotaur and, speaking with him, he mentions "the Duke of Athens" (Theseus). So does Shakespeare in his comedy </w:t>
            </w:r>
            <w:r w:rsidRPr="00093376">
              <w:rPr>
                <w:rFonts w:ascii="Times New Roman" w:hAnsi="Times New Roman" w:cs="Times New Roman"/>
                <w:i/>
                <w:iCs/>
                <w:sz w:val="24"/>
                <w:szCs w:val="24"/>
              </w:rPr>
              <w:t>A Midsummer Night's Dream</w:t>
            </w:r>
            <w:r w:rsidRPr="00093376">
              <w:rPr>
                <w:rFonts w:ascii="Times New Roman" w:hAnsi="Times New Roman" w:cs="Times New Roman"/>
                <w:sz w:val="24"/>
                <w:szCs w:val="24"/>
              </w:rPr>
              <w:t>. In Dante's </w:t>
            </w:r>
            <w:r w:rsidRPr="00093376">
              <w:rPr>
                <w:rFonts w:ascii="Times New Roman" w:hAnsi="Times New Roman" w:cs="Times New Roman"/>
                <w:i/>
                <w:iCs/>
                <w:sz w:val="24"/>
                <w:szCs w:val="24"/>
              </w:rPr>
              <w:t>Divine Comedy</w:t>
            </w:r>
            <w:r w:rsidRPr="00093376">
              <w:rPr>
                <w:rFonts w:ascii="Times New Roman" w:hAnsi="Times New Roman" w:cs="Times New Roman"/>
                <w:sz w:val="24"/>
                <w:szCs w:val="24"/>
              </w:rPr>
              <w:t> (especially in </w:t>
            </w:r>
            <w:r w:rsidRPr="00093376">
              <w:rPr>
                <w:rFonts w:ascii="Times New Roman" w:hAnsi="Times New Roman" w:cs="Times New Roman"/>
                <w:i/>
                <w:iCs/>
                <w:sz w:val="24"/>
                <w:szCs w:val="24"/>
              </w:rPr>
              <w:t>Inferno</w:t>
            </w:r>
            <w:r w:rsidRPr="00093376">
              <w:rPr>
                <w:rFonts w:ascii="Times New Roman" w:hAnsi="Times New Roman" w:cs="Times New Roman"/>
                <w:sz w:val="24"/>
                <w:szCs w:val="24"/>
              </w:rPr>
              <w:t>), there are many references to Pelasgian mythology, and the poet connects them to Late Middle Ages Balkans, such as with the Duke of Athens.</w:t>
            </w:r>
          </w:p>
        </w:tc>
      </w:tr>
    </w:tbl>
    <w:p w:rsidR="000E1298" w:rsidRDefault="00F82F1F" w:rsidP="00093376"/>
    <w:p w:rsidR="00093376" w:rsidRDefault="00093376" w:rsidP="00093376"/>
    <w:p w:rsidR="00093376" w:rsidRDefault="00093376" w:rsidP="00093376">
      <w:pPr>
        <w:jc w:val="center"/>
        <w:rPr>
          <w:rFonts w:ascii="Arial" w:hAnsi="Arial" w:cs="Arial"/>
          <w:color w:val="0000CC"/>
          <w:sz w:val="15"/>
          <w:szCs w:val="15"/>
        </w:rPr>
      </w:pP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3" r:href="rId14"/>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p>
    <w:p w:rsidR="00093376" w:rsidRDefault="00093376" w:rsidP="00093376">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093376" w:rsidRPr="00205110" w:rsidTr="008A1D4C">
        <w:tc>
          <w:tcPr>
            <w:tcW w:w="1838" w:type="dxa"/>
            <w:shd w:val="clear" w:color="auto" w:fill="00B050"/>
          </w:tcPr>
          <w:p w:rsidR="00093376" w:rsidRPr="00205110" w:rsidRDefault="00093376" w:rsidP="008A1D4C">
            <w:pPr>
              <w:jc w:val="center"/>
              <w:rPr>
                <w:b/>
              </w:rPr>
            </w:pPr>
            <w:r w:rsidRPr="00205110">
              <w:rPr>
                <w:b/>
              </w:rPr>
              <w:t>C</w:t>
            </w:r>
            <w:r w:rsidRPr="00205110">
              <w:rPr>
                <w:b/>
                <w:lang w:val="en"/>
              </w:rPr>
              <w:t>ompiler FLN</w:t>
            </w:r>
          </w:p>
        </w:tc>
      </w:tr>
    </w:tbl>
    <w:p w:rsidR="00093376" w:rsidRDefault="00093376" w:rsidP="00093376">
      <w:bookmarkStart w:id="0" w:name="_GoBack"/>
      <w:bookmarkEnd w:id="0"/>
    </w:p>
    <w:sectPr w:rsidR="00093376">
      <w:head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1F" w:rsidRDefault="00F82F1F" w:rsidP="00093376">
      <w:pPr>
        <w:spacing w:after="0" w:line="240" w:lineRule="auto"/>
      </w:pPr>
      <w:r>
        <w:separator/>
      </w:r>
    </w:p>
  </w:endnote>
  <w:endnote w:type="continuationSeparator" w:id="0">
    <w:p w:rsidR="00F82F1F" w:rsidRDefault="00F82F1F" w:rsidP="0009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1F" w:rsidRDefault="00F82F1F" w:rsidP="00093376">
      <w:pPr>
        <w:spacing w:after="0" w:line="240" w:lineRule="auto"/>
      </w:pPr>
      <w:r>
        <w:separator/>
      </w:r>
    </w:p>
  </w:footnote>
  <w:footnote w:type="continuationSeparator" w:id="0">
    <w:p w:rsidR="00F82F1F" w:rsidRDefault="00F82F1F" w:rsidP="00093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008112"/>
      <w:docPartObj>
        <w:docPartGallery w:val="Page Numbers (Top of Page)"/>
        <w:docPartUnique/>
      </w:docPartObj>
    </w:sdtPr>
    <w:sdtEndPr>
      <w:rPr>
        <w:noProof/>
      </w:rPr>
    </w:sdtEndPr>
    <w:sdtContent>
      <w:p w:rsidR="00093376" w:rsidRDefault="000933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93376" w:rsidRDefault="00093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2C73"/>
    <w:multiLevelType w:val="multilevel"/>
    <w:tmpl w:val="E76A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C0FD1"/>
    <w:multiLevelType w:val="multilevel"/>
    <w:tmpl w:val="E8E8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920850"/>
    <w:multiLevelType w:val="multilevel"/>
    <w:tmpl w:val="4F0C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B23C3"/>
    <w:multiLevelType w:val="multilevel"/>
    <w:tmpl w:val="359C14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63FAD"/>
    <w:multiLevelType w:val="multilevel"/>
    <w:tmpl w:val="2010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DE"/>
    <w:rsid w:val="00093376"/>
    <w:rsid w:val="00117847"/>
    <w:rsid w:val="00217A40"/>
    <w:rsid w:val="004C35BA"/>
    <w:rsid w:val="006164DE"/>
    <w:rsid w:val="00C867AA"/>
    <w:rsid w:val="00EE44AE"/>
    <w:rsid w:val="00F8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A04D"/>
  <w15:chartTrackingRefBased/>
  <w15:docId w15:val="{0E7DE5A0-8D36-41C2-9D09-B6126E1F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3376"/>
    <w:pPr>
      <w:spacing w:after="0" w:line="240" w:lineRule="auto"/>
    </w:pPr>
  </w:style>
  <w:style w:type="paragraph" w:styleId="Header">
    <w:name w:val="header"/>
    <w:basedOn w:val="Normal"/>
    <w:link w:val="HeaderChar"/>
    <w:uiPriority w:val="99"/>
    <w:unhideWhenUsed/>
    <w:rsid w:val="00093376"/>
    <w:pPr>
      <w:tabs>
        <w:tab w:val="center" w:pos="4703"/>
        <w:tab w:val="right" w:pos="9406"/>
      </w:tabs>
      <w:spacing w:after="0" w:line="240" w:lineRule="auto"/>
    </w:pPr>
  </w:style>
  <w:style w:type="character" w:customStyle="1" w:styleId="HeaderChar">
    <w:name w:val="Header Char"/>
    <w:basedOn w:val="DefaultParagraphFont"/>
    <w:link w:val="Header"/>
    <w:uiPriority w:val="99"/>
    <w:rsid w:val="00093376"/>
  </w:style>
  <w:style w:type="paragraph" w:styleId="Footer">
    <w:name w:val="footer"/>
    <w:basedOn w:val="Normal"/>
    <w:link w:val="FooterChar"/>
    <w:uiPriority w:val="99"/>
    <w:unhideWhenUsed/>
    <w:rsid w:val="000933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09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55661">
      <w:bodyDiv w:val="1"/>
      <w:marLeft w:val="0"/>
      <w:marRight w:val="0"/>
      <w:marTop w:val="0"/>
      <w:marBottom w:val="0"/>
      <w:divBdr>
        <w:top w:val="none" w:sz="0" w:space="0" w:color="auto"/>
        <w:left w:val="none" w:sz="0" w:space="0" w:color="auto"/>
        <w:bottom w:val="none" w:sz="0" w:space="0" w:color="auto"/>
        <w:right w:val="none" w:sz="0" w:space="0" w:color="auto"/>
      </w:divBdr>
    </w:div>
    <w:div w:id="938100719">
      <w:bodyDiv w:val="1"/>
      <w:marLeft w:val="0"/>
      <w:marRight w:val="0"/>
      <w:marTop w:val="0"/>
      <w:marBottom w:val="0"/>
      <w:divBdr>
        <w:top w:val="none" w:sz="0" w:space="0" w:color="auto"/>
        <w:left w:val="none" w:sz="0" w:space="0" w:color="auto"/>
        <w:bottom w:val="none" w:sz="0" w:space="0" w:color="auto"/>
        <w:right w:val="none" w:sz="0" w:space="0" w:color="auto"/>
      </w:divBdr>
      <w:divsChild>
        <w:div w:id="53742265">
          <w:marLeft w:val="0"/>
          <w:marRight w:val="0"/>
          <w:marTop w:val="0"/>
          <w:marBottom w:val="0"/>
          <w:divBdr>
            <w:top w:val="none" w:sz="0" w:space="0" w:color="auto"/>
            <w:left w:val="none" w:sz="0" w:space="0" w:color="auto"/>
            <w:bottom w:val="none" w:sz="0" w:space="0" w:color="auto"/>
            <w:right w:val="none" w:sz="0" w:space="0" w:color="auto"/>
          </w:divBdr>
        </w:div>
        <w:div w:id="1760448931">
          <w:marLeft w:val="0"/>
          <w:marRight w:val="0"/>
          <w:marTop w:val="0"/>
          <w:marBottom w:val="0"/>
          <w:divBdr>
            <w:top w:val="none" w:sz="0" w:space="0" w:color="auto"/>
            <w:left w:val="none" w:sz="0" w:space="0" w:color="auto"/>
            <w:bottom w:val="none" w:sz="0" w:space="0" w:color="auto"/>
            <w:right w:val="none" w:sz="0" w:space="0" w:color="auto"/>
          </w:divBdr>
        </w:div>
        <w:div w:id="515390198">
          <w:marLeft w:val="0"/>
          <w:marRight w:val="0"/>
          <w:marTop w:val="0"/>
          <w:marBottom w:val="0"/>
          <w:divBdr>
            <w:top w:val="none" w:sz="0" w:space="0" w:color="auto"/>
            <w:left w:val="none" w:sz="0" w:space="0" w:color="auto"/>
            <w:bottom w:val="none" w:sz="0" w:space="0" w:color="auto"/>
            <w:right w:val="none" w:sz="0" w:space="0" w:color="auto"/>
          </w:divBdr>
          <w:divsChild>
            <w:div w:id="1795949560">
              <w:marLeft w:val="0"/>
              <w:marRight w:val="0"/>
              <w:marTop w:val="0"/>
              <w:marBottom w:val="0"/>
              <w:divBdr>
                <w:top w:val="none" w:sz="0" w:space="0" w:color="auto"/>
                <w:left w:val="none" w:sz="0" w:space="0" w:color="auto"/>
                <w:bottom w:val="none" w:sz="0" w:space="0" w:color="auto"/>
                <w:right w:val="none" w:sz="0" w:space="0" w:color="auto"/>
              </w:divBdr>
            </w:div>
            <w:div w:id="1173956772">
              <w:marLeft w:val="0"/>
              <w:marRight w:val="0"/>
              <w:marTop w:val="0"/>
              <w:marBottom w:val="0"/>
              <w:divBdr>
                <w:top w:val="none" w:sz="0" w:space="0" w:color="auto"/>
                <w:left w:val="none" w:sz="0" w:space="0" w:color="auto"/>
                <w:bottom w:val="none" w:sz="0" w:space="0" w:color="auto"/>
                <w:right w:val="none" w:sz="0" w:space="0" w:color="auto"/>
              </w:divBdr>
            </w:div>
          </w:divsChild>
        </w:div>
        <w:div w:id="446700904">
          <w:marLeft w:val="0"/>
          <w:marRight w:val="0"/>
          <w:marTop w:val="0"/>
          <w:marBottom w:val="0"/>
          <w:divBdr>
            <w:top w:val="none" w:sz="0" w:space="0" w:color="auto"/>
            <w:left w:val="none" w:sz="0" w:space="0" w:color="auto"/>
            <w:bottom w:val="none" w:sz="0" w:space="0" w:color="auto"/>
            <w:right w:val="none" w:sz="0" w:space="0" w:color="auto"/>
          </w:divBdr>
        </w:div>
        <w:div w:id="943270572">
          <w:marLeft w:val="288"/>
          <w:marRight w:val="0"/>
          <w:marTop w:val="0"/>
          <w:marBottom w:val="0"/>
          <w:divBdr>
            <w:top w:val="none" w:sz="0" w:space="0" w:color="auto"/>
            <w:left w:val="none" w:sz="0" w:space="0" w:color="auto"/>
            <w:bottom w:val="none" w:sz="0" w:space="0" w:color="auto"/>
            <w:right w:val="none" w:sz="0" w:space="0" w:color="auto"/>
          </w:divBdr>
        </w:div>
        <w:div w:id="565384285">
          <w:marLeft w:val="288"/>
          <w:marRight w:val="0"/>
          <w:marTop w:val="0"/>
          <w:marBottom w:val="0"/>
          <w:divBdr>
            <w:top w:val="none" w:sz="0" w:space="0" w:color="auto"/>
            <w:left w:val="none" w:sz="0" w:space="0" w:color="auto"/>
            <w:bottom w:val="none" w:sz="0" w:space="0" w:color="auto"/>
            <w:right w:val="none" w:sz="0" w:space="0" w:color="auto"/>
          </w:divBdr>
        </w:div>
        <w:div w:id="1305354865">
          <w:marLeft w:val="288"/>
          <w:marRight w:val="0"/>
          <w:marTop w:val="0"/>
          <w:marBottom w:val="0"/>
          <w:divBdr>
            <w:top w:val="none" w:sz="0" w:space="0" w:color="auto"/>
            <w:left w:val="none" w:sz="0" w:space="0" w:color="auto"/>
            <w:bottom w:val="none" w:sz="0" w:space="0" w:color="auto"/>
            <w:right w:val="none" w:sz="0" w:space="0" w:color="auto"/>
          </w:divBdr>
        </w:div>
        <w:div w:id="1606108974">
          <w:marLeft w:val="288"/>
          <w:marRight w:val="0"/>
          <w:marTop w:val="0"/>
          <w:marBottom w:val="0"/>
          <w:divBdr>
            <w:top w:val="none" w:sz="0" w:space="0" w:color="auto"/>
            <w:left w:val="none" w:sz="0" w:space="0" w:color="auto"/>
            <w:bottom w:val="none" w:sz="0" w:space="0" w:color="auto"/>
            <w:right w:val="none" w:sz="0" w:space="0" w:color="auto"/>
          </w:divBdr>
        </w:div>
        <w:div w:id="1201623854">
          <w:marLeft w:val="288"/>
          <w:marRight w:val="0"/>
          <w:marTop w:val="0"/>
          <w:marBottom w:val="0"/>
          <w:divBdr>
            <w:top w:val="none" w:sz="0" w:space="0" w:color="auto"/>
            <w:left w:val="none" w:sz="0" w:space="0" w:color="auto"/>
            <w:bottom w:val="none" w:sz="0" w:space="0" w:color="auto"/>
            <w:right w:val="none" w:sz="0" w:space="0" w:color="auto"/>
          </w:divBdr>
        </w:div>
        <w:div w:id="921721911">
          <w:marLeft w:val="288"/>
          <w:marRight w:val="0"/>
          <w:marTop w:val="0"/>
          <w:marBottom w:val="0"/>
          <w:divBdr>
            <w:top w:val="none" w:sz="0" w:space="0" w:color="auto"/>
            <w:left w:val="none" w:sz="0" w:space="0" w:color="auto"/>
            <w:bottom w:val="none" w:sz="0" w:space="0" w:color="auto"/>
            <w:right w:val="none" w:sz="0" w:space="0" w:color="auto"/>
          </w:divBdr>
        </w:div>
      </w:divsChild>
    </w:div>
    <w:div w:id="21334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en.wikipedia.org/wiki/File:Arms_of_the_House_of_de_la_Roche.svg" TargetMode="External"/><Relationship Id="rId12" Type="http://schemas.openxmlformats.org/officeDocument/2006/relationships/hyperlink" Target="https://en.wikipedia.org/wiki/Matthew_of_Monca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n.wikipedia.org/wiki/File:Greece_in_1210.svg" TargetMode="External"/><Relationship Id="rId14"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3223</Words>
  <Characters>18375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2024-06-02T08:15:00Z</dcterms:created>
  <dcterms:modified xsi:type="dcterms:W3CDTF">2024-06-05T04:39:00Z</dcterms:modified>
</cp:coreProperties>
</file>